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8D" w:rsidRDefault="004107C2" w:rsidP="001E3CCB">
      <w:pPr>
        <w:spacing w:before="20" w:after="20" w:line="240" w:lineRule="auto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445ABE" w:rsidRPr="0007725A" w:rsidRDefault="004D28BC" w:rsidP="001E3CCB">
      <w:pPr>
        <w:spacing w:before="20" w:after="20"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BB417A">
        <w:rPr>
          <w:rFonts w:ascii="Calibri" w:hAnsi="Calibri"/>
          <w:sz w:val="20"/>
          <w:szCs w:val="20"/>
        </w:rPr>
        <w:t xml:space="preserve">„Centar za pravnu pomoć ženama“ Zenica </w:t>
      </w:r>
      <w:r w:rsidR="00440156">
        <w:rPr>
          <w:rFonts w:ascii="Calibri" w:hAnsi="Calibri"/>
          <w:sz w:val="20"/>
          <w:szCs w:val="20"/>
        </w:rPr>
        <w:t xml:space="preserve">(CzPPZ) </w:t>
      </w:r>
      <w:r w:rsidRPr="00BB417A">
        <w:rPr>
          <w:rFonts w:ascii="Calibri" w:hAnsi="Calibri"/>
          <w:sz w:val="20"/>
          <w:szCs w:val="20"/>
        </w:rPr>
        <w:t>je</w:t>
      </w:r>
      <w:r w:rsidR="0007725A">
        <w:rPr>
          <w:rFonts w:ascii="Calibri" w:hAnsi="Calibri"/>
          <w:sz w:val="20"/>
          <w:szCs w:val="20"/>
        </w:rPr>
        <w:t xml:space="preserve"> zajedno sa partnerima iz Republike Srpske inplementirao projekt  „Monitoring</w:t>
      </w:r>
      <w:r w:rsidR="00C17E88" w:rsidRPr="00BB417A">
        <w:rPr>
          <w:rFonts w:ascii="Calibri" w:hAnsi="Calibri"/>
          <w:sz w:val="20"/>
          <w:szCs w:val="20"/>
        </w:rPr>
        <w:t xml:space="preserve"> pravosuđa ka ostvarenju spolne</w:t>
      </w:r>
      <w:r w:rsidR="00E02DB6" w:rsidRPr="00BB417A">
        <w:rPr>
          <w:rFonts w:ascii="Calibri" w:hAnsi="Calibri"/>
          <w:sz w:val="20"/>
          <w:szCs w:val="20"/>
        </w:rPr>
        <w:t xml:space="preserve"> i rodne </w:t>
      </w:r>
      <w:r w:rsidR="005555C0">
        <w:rPr>
          <w:rFonts w:ascii="Calibri" w:hAnsi="Calibri"/>
          <w:sz w:val="20"/>
          <w:szCs w:val="20"/>
        </w:rPr>
        <w:t>jednakosti</w:t>
      </w:r>
      <w:r w:rsidR="00E02DB6" w:rsidRPr="00BB417A">
        <w:rPr>
          <w:rFonts w:ascii="Calibri" w:hAnsi="Calibri"/>
          <w:sz w:val="20"/>
          <w:szCs w:val="20"/>
        </w:rPr>
        <w:t xml:space="preserve"> u BiH“</w:t>
      </w:r>
      <w:r w:rsidR="00440156">
        <w:rPr>
          <w:rFonts w:ascii="Calibri" w:hAnsi="Calibri"/>
          <w:sz w:val="20"/>
          <w:szCs w:val="20"/>
        </w:rPr>
        <w:t xml:space="preserve">. </w:t>
      </w:r>
      <w:r w:rsidR="0007725A">
        <w:rPr>
          <w:rFonts w:ascii="Calibri" w:hAnsi="Calibri"/>
          <w:sz w:val="20"/>
          <w:szCs w:val="20"/>
        </w:rPr>
        <w:t>M</w:t>
      </w:r>
      <w:r w:rsidR="0007725A">
        <w:rPr>
          <w:rFonts w:ascii="Calibri" w:hAnsi="Calibri"/>
          <w:b/>
          <w:sz w:val="20"/>
          <w:szCs w:val="20"/>
        </w:rPr>
        <w:t>onitoring</w:t>
      </w:r>
      <w:r w:rsidR="0007725A" w:rsidRPr="00BB417A">
        <w:rPr>
          <w:rFonts w:ascii="Calibri" w:hAnsi="Calibri"/>
          <w:b/>
          <w:sz w:val="20"/>
          <w:szCs w:val="20"/>
        </w:rPr>
        <w:t xml:space="preserve"> krivičnih postupaka spolno i rodno zasnovanog nasilja</w:t>
      </w:r>
      <w:r w:rsidR="0007725A">
        <w:rPr>
          <w:rFonts w:ascii="Calibri" w:hAnsi="Calibri"/>
          <w:sz w:val="20"/>
          <w:szCs w:val="20"/>
        </w:rPr>
        <w:t xml:space="preserve"> je rađen u 20 sudova. </w:t>
      </w:r>
      <w:r w:rsidR="00440156">
        <w:rPr>
          <w:rFonts w:ascii="Calibri" w:hAnsi="Calibri"/>
          <w:sz w:val="20"/>
          <w:szCs w:val="20"/>
        </w:rPr>
        <w:t>Za područje FBiH</w:t>
      </w:r>
      <w:r w:rsidR="0007725A">
        <w:rPr>
          <w:rFonts w:ascii="Calibri" w:hAnsi="Calibri"/>
          <w:sz w:val="20"/>
          <w:szCs w:val="20"/>
        </w:rPr>
        <w:t xml:space="preserve"> je bilo obuhvaćeno </w:t>
      </w:r>
      <w:r w:rsidR="0007725A" w:rsidRPr="00BB417A">
        <w:rPr>
          <w:rFonts w:ascii="Calibri" w:hAnsi="Calibri"/>
          <w:sz w:val="20"/>
          <w:szCs w:val="20"/>
        </w:rPr>
        <w:t>10 općinsk</w:t>
      </w:r>
      <w:r w:rsidR="0007725A">
        <w:rPr>
          <w:rFonts w:ascii="Calibri" w:hAnsi="Calibri"/>
          <w:sz w:val="20"/>
          <w:szCs w:val="20"/>
        </w:rPr>
        <w:t xml:space="preserve">ih i kantonalnih sudova u </w:t>
      </w:r>
      <w:r w:rsidR="0007725A" w:rsidRPr="00BB417A">
        <w:rPr>
          <w:rFonts w:ascii="Calibri" w:hAnsi="Calibri"/>
          <w:sz w:val="20"/>
          <w:szCs w:val="20"/>
        </w:rPr>
        <w:t xml:space="preserve"> </w:t>
      </w:r>
      <w:r w:rsidR="0007725A" w:rsidRPr="00BB417A">
        <w:rPr>
          <w:rFonts w:ascii="Calibri" w:hAnsi="Calibri"/>
          <w:b/>
          <w:sz w:val="20"/>
          <w:szCs w:val="20"/>
        </w:rPr>
        <w:t xml:space="preserve">Zenici, Tuzli, Sarajevu, </w:t>
      </w:r>
      <w:r w:rsidR="0007725A">
        <w:rPr>
          <w:rFonts w:ascii="Calibri" w:hAnsi="Calibri"/>
          <w:b/>
          <w:sz w:val="20"/>
          <w:szCs w:val="20"/>
        </w:rPr>
        <w:t>Visokom</w:t>
      </w:r>
      <w:r w:rsidR="0007725A" w:rsidRPr="00BB417A">
        <w:rPr>
          <w:rFonts w:ascii="Calibri" w:hAnsi="Calibri"/>
          <w:b/>
          <w:sz w:val="20"/>
          <w:szCs w:val="20"/>
        </w:rPr>
        <w:t>, Novom Travniku, Odžaku i Orašju</w:t>
      </w:r>
      <w:r w:rsidR="0007725A">
        <w:rPr>
          <w:rFonts w:ascii="Calibri" w:hAnsi="Calibri"/>
          <w:b/>
          <w:sz w:val="20"/>
          <w:szCs w:val="20"/>
        </w:rPr>
        <w:t xml:space="preserve">, sa ukupno </w:t>
      </w:r>
      <w:r w:rsidR="00FE4574" w:rsidRPr="00BB417A">
        <w:rPr>
          <w:rFonts w:ascii="Calibri" w:hAnsi="Calibri"/>
          <w:b/>
          <w:sz w:val="20"/>
          <w:szCs w:val="20"/>
        </w:rPr>
        <w:t>227 predmeta</w:t>
      </w:r>
      <w:r w:rsidR="00B64EF5" w:rsidRPr="00BB417A">
        <w:rPr>
          <w:rFonts w:ascii="Calibri" w:hAnsi="Calibri"/>
          <w:b/>
          <w:sz w:val="20"/>
          <w:szCs w:val="20"/>
        </w:rPr>
        <w:t xml:space="preserve"> </w:t>
      </w:r>
      <w:r w:rsidR="005555C0">
        <w:rPr>
          <w:rFonts w:ascii="Calibri" w:hAnsi="Calibri"/>
          <w:sz w:val="20"/>
          <w:szCs w:val="20"/>
        </w:rPr>
        <w:t>iz kategorija</w:t>
      </w:r>
      <w:r w:rsidR="00B64EF5" w:rsidRPr="00BB417A">
        <w:rPr>
          <w:rFonts w:ascii="Calibri" w:hAnsi="Calibri"/>
          <w:sz w:val="20"/>
          <w:szCs w:val="20"/>
        </w:rPr>
        <w:t xml:space="preserve"> krivičnih djela</w:t>
      </w:r>
      <w:r w:rsidR="00B64EF5" w:rsidRPr="00BB417A">
        <w:rPr>
          <w:rFonts w:ascii="Calibri" w:hAnsi="Calibri"/>
          <w:b/>
          <w:sz w:val="20"/>
          <w:szCs w:val="20"/>
        </w:rPr>
        <w:t xml:space="preserve"> (KD)</w:t>
      </w:r>
      <w:r w:rsidR="005555C0">
        <w:rPr>
          <w:rFonts w:ascii="Calibri" w:hAnsi="Calibri"/>
          <w:b/>
          <w:sz w:val="20"/>
          <w:szCs w:val="20"/>
        </w:rPr>
        <w:t xml:space="preserve"> </w:t>
      </w:r>
      <w:r w:rsidR="005555C0" w:rsidRPr="005555C0">
        <w:rPr>
          <w:rFonts w:ascii="Calibri" w:hAnsi="Calibri"/>
          <w:sz w:val="20"/>
          <w:szCs w:val="20"/>
        </w:rPr>
        <w:t>u fokusu,</w:t>
      </w:r>
      <w:r w:rsidR="005555C0">
        <w:rPr>
          <w:rFonts w:ascii="Calibri" w:hAnsi="Calibri"/>
          <w:sz w:val="20"/>
          <w:szCs w:val="20"/>
        </w:rPr>
        <w:t xml:space="preserve"> </w:t>
      </w:r>
      <w:r w:rsidR="00B64EF5" w:rsidRPr="00BB417A">
        <w:rPr>
          <w:rFonts w:ascii="Calibri" w:hAnsi="Calibri"/>
          <w:sz w:val="20"/>
          <w:szCs w:val="20"/>
        </w:rPr>
        <w:t>kako slijedi:</w:t>
      </w:r>
      <w:r w:rsidR="00B84AEF" w:rsidRPr="00BB417A">
        <w:rPr>
          <w:rFonts w:ascii="Calibri" w:hAnsi="Calibri"/>
          <w:sz w:val="20"/>
          <w:szCs w:val="20"/>
          <w:lang w:val="bs-Latn-BA"/>
        </w:rPr>
        <w:t xml:space="preserve"> </w:t>
      </w:r>
    </w:p>
    <w:p w:rsidR="00F840F2" w:rsidRPr="00F840F2" w:rsidRDefault="00F840F2" w:rsidP="00F840F2">
      <w:pPr>
        <w:pStyle w:val="ListParagraph"/>
        <w:numPr>
          <w:ilvl w:val="0"/>
          <w:numId w:val="8"/>
        </w:numPr>
        <w:spacing w:before="20" w:after="20" w:line="240" w:lineRule="auto"/>
        <w:jc w:val="both"/>
        <w:rPr>
          <w:rFonts w:eastAsia="Times New Roman"/>
          <w:b/>
          <w:iCs/>
          <w:sz w:val="20"/>
          <w:szCs w:val="20"/>
          <w:lang w:val="bs-Latn-BA" w:eastAsia="hr-HR"/>
        </w:rPr>
      </w:pPr>
      <w:r w:rsidRPr="00F840F2">
        <w:rPr>
          <w:rFonts w:eastAsia="Times New Roman"/>
          <w:b/>
          <w:iCs/>
          <w:sz w:val="20"/>
          <w:szCs w:val="20"/>
          <w:lang w:val="bs-Latn-BA" w:eastAsia="hr-HR"/>
        </w:rPr>
        <w:t>KD PROTIV BRAKA PORODICE I MLADEŽI:</w:t>
      </w:r>
      <w:r w:rsidRPr="00F840F2">
        <w:rPr>
          <w:rFonts w:eastAsia="Times New Roman"/>
          <w:iCs/>
          <w:sz w:val="20"/>
          <w:szCs w:val="20"/>
          <w:lang w:val="bs-Latn-BA" w:eastAsia="hr-HR"/>
        </w:rPr>
        <w:t xml:space="preserve"> Ukupno je </w:t>
      </w:r>
      <w:r w:rsidRPr="00F840F2">
        <w:rPr>
          <w:b/>
          <w:sz w:val="20"/>
          <w:szCs w:val="20"/>
          <w:lang w:val="bs-Latn-BA"/>
        </w:rPr>
        <w:t>analizirano 123 predmeta</w:t>
      </w:r>
      <w:r w:rsidRPr="00F840F2">
        <w:rPr>
          <w:sz w:val="20"/>
          <w:szCs w:val="20"/>
          <w:lang w:val="bs-Latn-BA"/>
        </w:rPr>
        <w:t xml:space="preserve">. </w:t>
      </w:r>
      <w:r w:rsidRPr="00F840F2">
        <w:rPr>
          <w:rFonts w:eastAsia="Times New Roman"/>
          <w:b/>
          <w:iCs/>
          <w:sz w:val="20"/>
          <w:szCs w:val="20"/>
          <w:lang w:val="bs-Latn-BA" w:eastAsia="hr-HR"/>
        </w:rPr>
        <w:t xml:space="preserve">Značajno </w:t>
      </w:r>
      <w:r w:rsidRPr="00F840F2">
        <w:rPr>
          <w:rFonts w:eastAsia="Times New Roman"/>
          <w:iCs/>
          <w:sz w:val="20"/>
          <w:szCs w:val="20"/>
          <w:lang w:val="bs-Latn-BA" w:eastAsia="hr-HR"/>
        </w:rPr>
        <w:t xml:space="preserve">je naglasiti da se </w:t>
      </w:r>
      <w:r w:rsidRPr="00F840F2">
        <w:rPr>
          <w:rFonts w:eastAsia="Times New Roman"/>
          <w:b/>
          <w:iCs/>
          <w:sz w:val="20"/>
          <w:szCs w:val="20"/>
          <w:lang w:val="bs-Latn-BA" w:eastAsia="hr-HR"/>
        </w:rPr>
        <w:t xml:space="preserve">Nasilje u porodici </w:t>
      </w:r>
      <w:r w:rsidRPr="00F840F2">
        <w:rPr>
          <w:rFonts w:eastAsia="Times New Roman"/>
          <w:iCs/>
          <w:sz w:val="20"/>
          <w:szCs w:val="20"/>
          <w:lang w:val="bs-Latn-BA" w:eastAsia="hr-HR"/>
        </w:rPr>
        <w:t>pojavljuje u 116 slučajeva, što čini čak</w:t>
      </w:r>
      <w:r w:rsidRPr="00F840F2">
        <w:rPr>
          <w:rFonts w:eastAsia="Times New Roman"/>
          <w:b/>
          <w:iCs/>
          <w:sz w:val="20"/>
          <w:szCs w:val="20"/>
          <w:lang w:val="bs-Latn-BA" w:eastAsia="hr-HR"/>
        </w:rPr>
        <w:t xml:space="preserve"> 51,1% </w:t>
      </w:r>
      <w:r w:rsidRPr="00F840F2">
        <w:rPr>
          <w:rFonts w:eastAsia="Times New Roman"/>
          <w:iCs/>
          <w:sz w:val="20"/>
          <w:szCs w:val="20"/>
          <w:lang w:val="bs-Latn-BA" w:eastAsia="hr-HR"/>
        </w:rPr>
        <w:t>od ukupnog broja analiziranih predmeta (227). N</w:t>
      </w:r>
      <w:r w:rsidRPr="00F840F2">
        <w:rPr>
          <w:sz w:val="20"/>
          <w:szCs w:val="20"/>
          <w:lang w:val="bs-Latn-BA"/>
        </w:rPr>
        <w:t xml:space="preserve">a Izbjegavanje izdržavanja odnosi se 6 predmeta, a na KD Vanbračna zajednica sa mlađim maloljetnikom jedan predmet. </w:t>
      </w:r>
    </w:p>
    <w:p w:rsidR="00F840F2" w:rsidRPr="00F840F2" w:rsidRDefault="00F840F2" w:rsidP="00F840F2">
      <w:pPr>
        <w:pStyle w:val="ListParagraph"/>
        <w:numPr>
          <w:ilvl w:val="0"/>
          <w:numId w:val="8"/>
        </w:numPr>
        <w:spacing w:before="20" w:after="20" w:line="240" w:lineRule="auto"/>
        <w:jc w:val="both"/>
        <w:rPr>
          <w:bCs/>
          <w:sz w:val="20"/>
          <w:szCs w:val="20"/>
          <w:lang w:val="bs-Latn-BA"/>
        </w:rPr>
      </w:pPr>
      <w:r w:rsidRPr="00F840F2">
        <w:rPr>
          <w:rFonts w:eastAsia="Times New Roman"/>
          <w:b/>
          <w:iCs/>
          <w:sz w:val="20"/>
          <w:szCs w:val="20"/>
          <w:lang w:val="bs-Latn-BA" w:eastAsia="hr-HR"/>
        </w:rPr>
        <w:t xml:space="preserve">KD PROTIV SPOLNE SLOBODE I MORALA: </w:t>
      </w:r>
      <w:r w:rsidRPr="00F840F2">
        <w:rPr>
          <w:b/>
          <w:sz w:val="20"/>
          <w:szCs w:val="20"/>
          <w:lang w:val="bs-Latn-BA"/>
        </w:rPr>
        <w:t xml:space="preserve">Od ukupno 53 predmeta </w:t>
      </w:r>
      <w:r w:rsidRPr="00F840F2">
        <w:rPr>
          <w:bCs/>
          <w:sz w:val="20"/>
          <w:szCs w:val="20"/>
          <w:lang w:val="bs-Latn-BA"/>
        </w:rPr>
        <w:t xml:space="preserve">na KD Silovanje odnosi se 20, </w:t>
      </w:r>
      <w:r w:rsidRPr="00F840F2">
        <w:rPr>
          <w:sz w:val="20"/>
          <w:szCs w:val="20"/>
          <w:lang w:val="bs-Latn-BA"/>
        </w:rPr>
        <w:t>n</w:t>
      </w:r>
      <w:r w:rsidRPr="00F840F2">
        <w:rPr>
          <w:bCs/>
          <w:sz w:val="20"/>
          <w:szCs w:val="20"/>
          <w:lang w:val="bs-Latn-BA"/>
        </w:rPr>
        <w:t xml:space="preserve">a KD Bludne radnje 15, na KD Spolni odnošaj s djetetom 13, Navođenje na prostituciju 2, na </w:t>
      </w:r>
      <w:r w:rsidRPr="00F840F2">
        <w:rPr>
          <w:sz w:val="20"/>
          <w:szCs w:val="20"/>
          <w:lang w:eastAsia="hr-HR"/>
        </w:rPr>
        <w:t>Spolni odnošaj s nemoćnom osobom</w:t>
      </w:r>
      <w:r w:rsidRPr="00F840F2">
        <w:rPr>
          <w:bCs/>
          <w:sz w:val="20"/>
          <w:szCs w:val="20"/>
          <w:lang w:val="bs-Latn-BA"/>
        </w:rPr>
        <w:t xml:space="preserve"> 2 i jedan predmet Obljuba zloupotrebom službenog položaja. </w:t>
      </w:r>
    </w:p>
    <w:p w:rsidR="00F840F2" w:rsidRPr="00F840F2" w:rsidRDefault="00F840F2" w:rsidP="00F840F2">
      <w:pPr>
        <w:pStyle w:val="ListParagraph"/>
        <w:numPr>
          <w:ilvl w:val="0"/>
          <w:numId w:val="8"/>
        </w:numPr>
        <w:spacing w:before="20" w:after="20" w:line="240" w:lineRule="auto"/>
        <w:jc w:val="both"/>
        <w:rPr>
          <w:rFonts w:eastAsia="Times New Roman"/>
          <w:bCs/>
          <w:sz w:val="20"/>
          <w:szCs w:val="20"/>
          <w:lang w:val="bs-Latn-BA" w:eastAsia="hr-HR"/>
        </w:rPr>
      </w:pPr>
      <w:r w:rsidRPr="00F840F2">
        <w:rPr>
          <w:rFonts w:eastAsia="Times New Roman"/>
          <w:b/>
          <w:iCs/>
          <w:sz w:val="20"/>
          <w:szCs w:val="20"/>
          <w:lang w:val="bs-Latn-BA" w:eastAsia="hr-HR"/>
        </w:rPr>
        <w:t xml:space="preserve">KD PROTIV ŽIVOTA I TIJELA: </w:t>
      </w:r>
      <w:r w:rsidRPr="00F840F2">
        <w:rPr>
          <w:rFonts w:eastAsia="Times New Roman"/>
          <w:bCs/>
          <w:sz w:val="20"/>
          <w:szCs w:val="20"/>
          <w:lang w:val="bs-Latn-BA" w:eastAsia="hr-HR"/>
        </w:rPr>
        <w:t xml:space="preserve">Od ukupno </w:t>
      </w:r>
      <w:r w:rsidRPr="00F840F2">
        <w:rPr>
          <w:rFonts w:eastAsia="Times New Roman"/>
          <w:b/>
          <w:bCs/>
          <w:sz w:val="20"/>
          <w:szCs w:val="20"/>
          <w:lang w:val="bs-Latn-BA" w:eastAsia="hr-HR"/>
        </w:rPr>
        <w:t>50 predmeta</w:t>
      </w:r>
      <w:r w:rsidRPr="00F840F2">
        <w:rPr>
          <w:rFonts w:eastAsia="Times New Roman"/>
          <w:bCs/>
          <w:sz w:val="20"/>
          <w:szCs w:val="20"/>
          <w:lang w:val="bs-Latn-BA" w:eastAsia="hr-HR"/>
        </w:rPr>
        <w:t>, 6 je Ubistvo, jedan Teške tjelesne povrede, 41 Lake tjelesne povrede i dva Nasilničko ponašanje.</w:t>
      </w:r>
    </w:p>
    <w:p w:rsidR="00BD7EFE" w:rsidRPr="00377030" w:rsidRDefault="00F840F2" w:rsidP="001E3CCB">
      <w:pPr>
        <w:pStyle w:val="ListParagraph"/>
        <w:numPr>
          <w:ilvl w:val="0"/>
          <w:numId w:val="8"/>
        </w:numPr>
        <w:spacing w:before="20" w:after="20" w:line="240" w:lineRule="auto"/>
        <w:jc w:val="both"/>
        <w:rPr>
          <w:rFonts w:eastAsia="Times New Roman"/>
          <w:b/>
          <w:iCs/>
          <w:sz w:val="20"/>
          <w:szCs w:val="20"/>
          <w:lang w:val="bs-Latn-BA" w:eastAsia="hr-HR"/>
        </w:rPr>
      </w:pPr>
      <w:r w:rsidRPr="00F840F2">
        <w:rPr>
          <w:rFonts w:eastAsia="Times New Roman"/>
          <w:b/>
          <w:iCs/>
          <w:sz w:val="20"/>
          <w:szCs w:val="20"/>
          <w:lang w:val="bs-Latn-BA" w:eastAsia="hr-HR"/>
        </w:rPr>
        <w:t xml:space="preserve">RATNI ZLOČIN: </w:t>
      </w:r>
      <w:r w:rsidRPr="00F840F2">
        <w:rPr>
          <w:rFonts w:eastAsia="Times New Roman"/>
          <w:iCs/>
          <w:sz w:val="20"/>
          <w:szCs w:val="20"/>
          <w:lang w:val="bs-Latn-BA" w:eastAsia="hr-HR"/>
        </w:rPr>
        <w:t>Analizom je</w:t>
      </w:r>
      <w:r w:rsidRPr="00F840F2">
        <w:rPr>
          <w:rFonts w:eastAsia="Times New Roman"/>
          <w:b/>
          <w:iCs/>
          <w:sz w:val="20"/>
          <w:szCs w:val="20"/>
          <w:lang w:val="bs-Latn-BA" w:eastAsia="hr-HR"/>
        </w:rPr>
        <w:t xml:space="preserve"> </w:t>
      </w:r>
      <w:r w:rsidRPr="00F840F2">
        <w:rPr>
          <w:rFonts w:eastAsia="Times New Roman"/>
          <w:iCs/>
          <w:sz w:val="20"/>
          <w:szCs w:val="20"/>
          <w:lang w:val="bs-Latn-BA" w:eastAsia="hr-HR"/>
        </w:rPr>
        <w:t>obuhvaćen i jedan predmet</w:t>
      </w:r>
      <w:r w:rsidRPr="00F840F2">
        <w:rPr>
          <w:rFonts w:eastAsia="Times New Roman"/>
          <w:b/>
          <w:iCs/>
          <w:sz w:val="20"/>
          <w:szCs w:val="20"/>
          <w:lang w:val="bs-Latn-BA" w:eastAsia="hr-HR"/>
        </w:rPr>
        <w:t xml:space="preserve"> KD Silovanje u ratu</w:t>
      </w:r>
    </w:p>
    <w:p w:rsidR="00F840F2" w:rsidRPr="00D44A10" w:rsidRDefault="00F840F2" w:rsidP="00D44A10">
      <w:pPr>
        <w:spacing w:before="20" w:after="20" w:line="240" w:lineRule="auto"/>
        <w:contextualSpacing/>
        <w:jc w:val="center"/>
        <w:rPr>
          <w:rFonts w:ascii="Calibri" w:hAnsi="Calibri"/>
          <w:sz w:val="20"/>
          <w:szCs w:val="20"/>
        </w:rPr>
      </w:pPr>
      <w:r w:rsidRPr="00F840F2">
        <w:rPr>
          <w:rFonts w:ascii="Calibri" w:hAnsi="Calibri"/>
          <w:noProof/>
          <w:sz w:val="20"/>
          <w:szCs w:val="20"/>
          <w:lang w:eastAsia="hr-HR"/>
        </w:rPr>
        <w:drawing>
          <wp:inline distT="0" distB="0" distL="0" distR="0">
            <wp:extent cx="4722190" cy="2106777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40F2" w:rsidRDefault="00F840F2" w:rsidP="00055444">
      <w:pPr>
        <w:spacing w:before="20" w:after="20" w:line="240" w:lineRule="auto"/>
        <w:ind w:firstLine="708"/>
        <w:contextualSpacing/>
        <w:jc w:val="both"/>
        <w:rPr>
          <w:rFonts w:ascii="Calibri" w:eastAsia="Times New Roman" w:hAnsi="Calibri" w:cs="Times New Roman"/>
          <w:b/>
          <w:iCs/>
          <w:sz w:val="20"/>
          <w:szCs w:val="20"/>
          <w:lang w:val="bs-Latn-BA" w:eastAsia="hr-HR"/>
        </w:rPr>
      </w:pPr>
    </w:p>
    <w:p w:rsidR="00A717D1" w:rsidRPr="00BB417A" w:rsidRDefault="00A717D1" w:rsidP="00377030">
      <w:pPr>
        <w:spacing w:before="20" w:after="20" w:line="240" w:lineRule="auto"/>
        <w:contextualSpacing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 w:rsidRPr="00BB417A">
        <w:rPr>
          <w:rFonts w:ascii="Calibri" w:hAnsi="Calibri"/>
          <w:b/>
          <w:sz w:val="20"/>
          <w:szCs w:val="20"/>
          <w:u w:val="single"/>
        </w:rPr>
        <w:t>IZREČENE SANKCIJE/KAZNE:</w:t>
      </w:r>
      <w:r w:rsidRPr="00BB417A">
        <w:rPr>
          <w:rFonts w:ascii="Calibri" w:hAnsi="Calibri"/>
          <w:b/>
          <w:sz w:val="20"/>
          <w:szCs w:val="20"/>
        </w:rPr>
        <w:t xml:space="preserve"> </w:t>
      </w:r>
      <w:r w:rsidRPr="00BB417A">
        <w:rPr>
          <w:rFonts w:ascii="Calibri" w:hAnsi="Calibri"/>
          <w:sz w:val="20"/>
          <w:szCs w:val="20"/>
        </w:rPr>
        <w:t xml:space="preserve">Od 227 </w:t>
      </w:r>
      <w:r>
        <w:rPr>
          <w:rFonts w:ascii="Calibri" w:hAnsi="Calibri"/>
          <w:sz w:val="20"/>
          <w:szCs w:val="20"/>
        </w:rPr>
        <w:t>p</w:t>
      </w:r>
      <w:r w:rsidRPr="00BB417A">
        <w:rPr>
          <w:rFonts w:ascii="Calibri" w:hAnsi="Calibri"/>
          <w:sz w:val="20"/>
          <w:szCs w:val="20"/>
        </w:rPr>
        <w:t xml:space="preserve">redmeta u 156 su izrečene kazne i predmeti kompletirani. Najveći broj sankcija je u vidu </w:t>
      </w:r>
      <w:r w:rsidRPr="00BB417A">
        <w:rPr>
          <w:rFonts w:ascii="Calibri" w:hAnsi="Calibri"/>
          <w:b/>
          <w:sz w:val="20"/>
          <w:szCs w:val="20"/>
        </w:rPr>
        <w:t>uslovne kazne,</w:t>
      </w:r>
      <w:r w:rsidRPr="00BB417A">
        <w:rPr>
          <w:rFonts w:ascii="Calibri" w:hAnsi="Calibri"/>
          <w:sz w:val="20"/>
          <w:szCs w:val="20"/>
        </w:rPr>
        <w:t xml:space="preserve"> njih 101 </w:t>
      </w:r>
      <w:r w:rsidRPr="00BB417A">
        <w:rPr>
          <w:rFonts w:ascii="Calibri" w:hAnsi="Calibri"/>
          <w:b/>
          <w:sz w:val="20"/>
          <w:szCs w:val="20"/>
        </w:rPr>
        <w:t>(65%).</w:t>
      </w:r>
      <w:r w:rsidRPr="00BB417A">
        <w:rPr>
          <w:rFonts w:ascii="Calibri" w:hAnsi="Calibri"/>
          <w:sz w:val="20"/>
          <w:szCs w:val="20"/>
        </w:rPr>
        <w:t xml:space="preserve"> U 29 predmeta izrečena je zatvorska kazna</w:t>
      </w:r>
      <w:r>
        <w:rPr>
          <w:rFonts w:ascii="Calibri" w:hAnsi="Calibri"/>
          <w:sz w:val="20"/>
          <w:szCs w:val="20"/>
        </w:rPr>
        <w:t xml:space="preserve"> (6 mjeseci do 20 godina)</w:t>
      </w:r>
      <w:r w:rsidRPr="00BB417A">
        <w:rPr>
          <w:rFonts w:ascii="Calibri" w:hAnsi="Calibri"/>
          <w:sz w:val="20"/>
          <w:szCs w:val="20"/>
        </w:rPr>
        <w:t>, u 2 slučaja kazna maloljetničkog zatvora, u 19</w:t>
      </w:r>
      <w:r>
        <w:rPr>
          <w:rFonts w:ascii="Calibri" w:hAnsi="Calibri"/>
          <w:sz w:val="20"/>
          <w:szCs w:val="20"/>
        </w:rPr>
        <w:t xml:space="preserve"> no</w:t>
      </w:r>
      <w:r w:rsidRPr="00BB417A">
        <w:rPr>
          <w:rFonts w:ascii="Calibri" w:hAnsi="Calibri"/>
          <w:sz w:val="20"/>
          <w:szCs w:val="20"/>
        </w:rPr>
        <w:t>včana (</w:t>
      </w:r>
      <w:r>
        <w:rPr>
          <w:rFonts w:ascii="Calibri" w:hAnsi="Calibri"/>
          <w:sz w:val="20"/>
          <w:szCs w:val="20"/>
        </w:rPr>
        <w:t xml:space="preserve">najčešće </w:t>
      </w:r>
      <w:r w:rsidRPr="00BB417A">
        <w:rPr>
          <w:rFonts w:ascii="Calibri" w:hAnsi="Calibri"/>
          <w:sz w:val="20"/>
          <w:szCs w:val="20"/>
        </w:rPr>
        <w:t>u rasponu od 500-1000 KM)</w:t>
      </w:r>
      <w:r>
        <w:rPr>
          <w:rFonts w:ascii="Calibri" w:hAnsi="Calibri"/>
          <w:sz w:val="20"/>
          <w:szCs w:val="20"/>
        </w:rPr>
        <w:t>.</w:t>
      </w:r>
      <w:r w:rsidRPr="00BB417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</w:t>
      </w:r>
      <w:r w:rsidRPr="00BB417A">
        <w:rPr>
          <w:rFonts w:ascii="Calibri" w:hAnsi="Calibri"/>
          <w:sz w:val="20"/>
          <w:szCs w:val="20"/>
        </w:rPr>
        <w:t xml:space="preserve"> 4 predmeta izrečene su </w:t>
      </w:r>
      <w:r w:rsidR="001E3CCB">
        <w:rPr>
          <w:rFonts w:ascii="Calibri" w:hAnsi="Calibri"/>
          <w:sz w:val="20"/>
          <w:szCs w:val="20"/>
        </w:rPr>
        <w:t>mjere sigurnosti</w:t>
      </w:r>
      <w:r w:rsidRPr="00BB417A">
        <w:rPr>
          <w:rFonts w:ascii="Calibri" w:hAnsi="Calibri"/>
          <w:sz w:val="20"/>
          <w:szCs w:val="20"/>
        </w:rPr>
        <w:t xml:space="preserve"> </w:t>
      </w:r>
      <w:r w:rsidR="001E3CCB">
        <w:rPr>
          <w:rFonts w:ascii="Calibri" w:hAnsi="Calibri"/>
          <w:sz w:val="20"/>
          <w:szCs w:val="20"/>
        </w:rPr>
        <w:t>(</w:t>
      </w:r>
      <w:r w:rsidRPr="00BB417A">
        <w:rPr>
          <w:rFonts w:ascii="Calibri" w:hAnsi="Calibri"/>
          <w:sz w:val="20"/>
          <w:szCs w:val="20"/>
        </w:rPr>
        <w:t>pretežno oba</w:t>
      </w:r>
      <w:r w:rsidR="001E3CCB">
        <w:rPr>
          <w:rFonts w:ascii="Calibri" w:hAnsi="Calibri"/>
          <w:sz w:val="20"/>
          <w:szCs w:val="20"/>
        </w:rPr>
        <w:t>veznog</w:t>
      </w:r>
      <w:r w:rsidRPr="00BB417A">
        <w:rPr>
          <w:rFonts w:ascii="Calibri" w:hAnsi="Calibri"/>
          <w:sz w:val="20"/>
          <w:szCs w:val="20"/>
        </w:rPr>
        <w:t xml:space="preserve"> psihijatrijskog liječenja), a u jednom slučaju izrečena je sudska opomena. </w:t>
      </w:r>
      <w:r w:rsidRPr="00BB417A">
        <w:rPr>
          <w:rFonts w:ascii="Calibri" w:hAnsi="Calibri"/>
          <w:b/>
          <w:sz w:val="20"/>
          <w:szCs w:val="20"/>
        </w:rPr>
        <w:t>Nije zabilježen predmet u kojem je izrečena zaštitna mjera</w:t>
      </w:r>
      <w:r w:rsidRPr="00BB417A">
        <w:rPr>
          <w:rFonts w:ascii="Calibri" w:hAnsi="Calibri"/>
          <w:sz w:val="20"/>
          <w:szCs w:val="20"/>
        </w:rPr>
        <w:t>, iako su uslovi sugerisali da bi određivanje takve mjere bilo svrsishodno.</w:t>
      </w:r>
    </w:p>
    <w:p w:rsidR="00A717D1" w:rsidRPr="00BB417A" w:rsidRDefault="00A717D1" w:rsidP="001E3CCB">
      <w:pPr>
        <w:spacing w:before="20" w:after="20"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BB417A">
        <w:rPr>
          <w:rFonts w:ascii="Calibri" w:hAnsi="Calibri"/>
          <w:b/>
          <w:sz w:val="20"/>
          <w:szCs w:val="20"/>
        </w:rPr>
        <w:t>Krivičnopravne sankcije</w:t>
      </w:r>
      <w:r w:rsidRPr="00BB417A">
        <w:rPr>
          <w:rFonts w:ascii="Calibri" w:hAnsi="Calibri"/>
          <w:sz w:val="20"/>
          <w:szCs w:val="20"/>
        </w:rPr>
        <w:t xml:space="preserve"> za djela SRZN su </w:t>
      </w:r>
      <w:r w:rsidRPr="00BB417A">
        <w:rPr>
          <w:rFonts w:ascii="Calibri" w:hAnsi="Calibri"/>
          <w:b/>
          <w:sz w:val="20"/>
          <w:szCs w:val="20"/>
        </w:rPr>
        <w:t>generalno uzevši blage, na granici, a ponekad i ispod granice propisane zakonom</w:t>
      </w:r>
      <w:r w:rsidRPr="00BB417A">
        <w:rPr>
          <w:rFonts w:ascii="Calibri" w:hAnsi="Calibri"/>
          <w:sz w:val="20"/>
          <w:szCs w:val="20"/>
        </w:rPr>
        <w:t>. U strukturi krivičnopravnih sankcija, suvereno dominiraju uslovne osude u slučajevima Nasilja u porodici, čime je ugroženo ostvarivanje ciljeva generalne i specijalne prevencije, kao i pružanje satisfakcije oštećenoj.</w:t>
      </w:r>
    </w:p>
    <w:p w:rsidR="00A717D1" w:rsidRDefault="00A717D1" w:rsidP="001E3CCB">
      <w:pPr>
        <w:spacing w:before="20" w:after="20"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BB417A">
        <w:rPr>
          <w:rFonts w:ascii="Calibri" w:hAnsi="Calibri"/>
          <w:sz w:val="20"/>
          <w:szCs w:val="20"/>
        </w:rPr>
        <w:t xml:space="preserve">Prilikom odmjeravanja vrste i visine krivičnopravne sankcije </w:t>
      </w:r>
      <w:r w:rsidRPr="00BB417A">
        <w:rPr>
          <w:rFonts w:ascii="Calibri" w:hAnsi="Calibri"/>
          <w:b/>
          <w:sz w:val="20"/>
          <w:szCs w:val="20"/>
        </w:rPr>
        <w:t>češće se uzimaju u obzir olakšavajuće</w:t>
      </w:r>
      <w:r w:rsidR="001E3CCB">
        <w:rPr>
          <w:rFonts w:ascii="Calibri" w:hAnsi="Calibri"/>
          <w:b/>
          <w:sz w:val="20"/>
          <w:szCs w:val="20"/>
        </w:rPr>
        <w:t>,</w:t>
      </w:r>
      <w:r w:rsidRPr="00BB417A">
        <w:rPr>
          <w:rFonts w:ascii="Calibri" w:hAnsi="Calibri"/>
          <w:b/>
          <w:sz w:val="20"/>
          <w:szCs w:val="20"/>
        </w:rPr>
        <w:t xml:space="preserve"> nego otežavajuće okolnosti</w:t>
      </w:r>
      <w:r w:rsidRPr="00BB417A">
        <w:rPr>
          <w:rFonts w:ascii="Calibri" w:hAnsi="Calibri"/>
          <w:sz w:val="20"/>
          <w:szCs w:val="20"/>
        </w:rPr>
        <w:t xml:space="preserve"> i to bez posebnog obrazloženja. Veoma zanimljiv </w:t>
      </w:r>
      <w:r w:rsidRPr="00BB417A">
        <w:rPr>
          <w:rFonts w:ascii="Calibri" w:hAnsi="Calibri"/>
          <w:b/>
          <w:sz w:val="20"/>
          <w:szCs w:val="20"/>
        </w:rPr>
        <w:t>primjer olakšavajuće okolnosti</w:t>
      </w:r>
      <w:r w:rsidRPr="00BB417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je </w:t>
      </w:r>
      <w:r w:rsidRPr="00BB417A">
        <w:rPr>
          <w:rFonts w:ascii="Calibri" w:hAnsi="Calibri"/>
          <w:sz w:val="20"/>
          <w:szCs w:val="20"/>
        </w:rPr>
        <w:t xml:space="preserve">da se optuženi percipira kao </w:t>
      </w:r>
      <w:r w:rsidRPr="00BB417A">
        <w:rPr>
          <w:rFonts w:ascii="Calibri" w:hAnsi="Calibri"/>
          <w:b/>
          <w:sz w:val="20"/>
          <w:szCs w:val="20"/>
        </w:rPr>
        <w:t>„porodični čovjek“</w:t>
      </w:r>
      <w:r w:rsidRPr="00BB417A">
        <w:rPr>
          <w:rFonts w:ascii="Calibri" w:hAnsi="Calibri"/>
          <w:sz w:val="20"/>
          <w:szCs w:val="20"/>
        </w:rPr>
        <w:t>. Ovo je problematično onda kada se kao žrtve njegovog nasilnog p</w:t>
      </w:r>
      <w:r>
        <w:rPr>
          <w:rFonts w:ascii="Calibri" w:hAnsi="Calibri"/>
          <w:sz w:val="20"/>
          <w:szCs w:val="20"/>
        </w:rPr>
        <w:t>onašanja javljaju upravo članice/ovi</w:t>
      </w:r>
      <w:r w:rsidRPr="00BB417A">
        <w:rPr>
          <w:rFonts w:ascii="Calibri" w:hAnsi="Calibri"/>
          <w:sz w:val="20"/>
          <w:szCs w:val="20"/>
        </w:rPr>
        <w:t xml:space="preserve"> te porodice, što je najčešće slučaj, te se time svakako ne šalje odgovarajuća poruka počinitelju, koji nije suočen sa ozbiljnošću i posljedicama svoga ponašanja.</w:t>
      </w:r>
    </w:p>
    <w:p w:rsidR="00D44A10" w:rsidRDefault="008C4937" w:rsidP="00377030">
      <w:pPr>
        <w:spacing w:before="20" w:after="20" w:line="240" w:lineRule="auto"/>
        <w:contextualSpacing/>
        <w:jc w:val="center"/>
        <w:rPr>
          <w:rFonts w:ascii="Calibri" w:hAnsi="Calibri"/>
          <w:sz w:val="20"/>
          <w:szCs w:val="20"/>
        </w:rPr>
      </w:pPr>
      <w:r w:rsidRPr="008C4937">
        <w:rPr>
          <w:rFonts w:ascii="Calibri" w:hAnsi="Calibri"/>
          <w:noProof/>
          <w:sz w:val="20"/>
          <w:szCs w:val="20"/>
          <w:lang w:eastAsia="hr-HR"/>
        </w:rPr>
        <w:drawing>
          <wp:inline distT="0" distB="0" distL="0" distR="0">
            <wp:extent cx="5164531" cy="220187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4A10" w:rsidRDefault="00D44A10" w:rsidP="001E3CCB">
      <w:pPr>
        <w:spacing w:before="20" w:after="20" w:line="240" w:lineRule="auto"/>
        <w:contextualSpacing/>
        <w:jc w:val="both"/>
        <w:rPr>
          <w:rFonts w:ascii="Calibri" w:hAnsi="Calibri"/>
          <w:sz w:val="20"/>
          <w:szCs w:val="20"/>
        </w:rPr>
      </w:pPr>
    </w:p>
    <w:p w:rsidR="00D44A10" w:rsidRDefault="00D44A10" w:rsidP="001E3CCB">
      <w:pPr>
        <w:spacing w:before="20" w:after="20" w:line="240" w:lineRule="auto"/>
        <w:contextualSpacing/>
        <w:jc w:val="both"/>
        <w:rPr>
          <w:rFonts w:ascii="Calibri" w:hAnsi="Calibri"/>
          <w:sz w:val="20"/>
          <w:szCs w:val="20"/>
        </w:rPr>
      </w:pPr>
    </w:p>
    <w:p w:rsidR="004957EC" w:rsidRDefault="004957EC" w:rsidP="00A9688D">
      <w:pPr>
        <w:spacing w:before="20" w:after="20"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BB417A">
        <w:rPr>
          <w:rFonts w:ascii="Calibri" w:hAnsi="Calibri"/>
          <w:b/>
          <w:sz w:val="20"/>
          <w:szCs w:val="20"/>
          <w:u w:val="single"/>
        </w:rPr>
        <w:t>TRAJANJE SUDSKIH POSTUPAKA:</w:t>
      </w:r>
      <w:r w:rsidRPr="00BB417A">
        <w:rPr>
          <w:rFonts w:ascii="Calibri" w:hAnsi="Calibri"/>
          <w:sz w:val="20"/>
          <w:szCs w:val="20"/>
        </w:rPr>
        <w:t xml:space="preserve"> Uočeno je da se krivični postupci </w:t>
      </w:r>
      <w:r w:rsidRPr="00BB417A">
        <w:rPr>
          <w:rFonts w:ascii="Calibri" w:hAnsi="Calibri"/>
          <w:b/>
          <w:sz w:val="20"/>
          <w:szCs w:val="20"/>
        </w:rPr>
        <w:t>općenito okončavaju u razumnom roku</w:t>
      </w:r>
      <w:r w:rsidRPr="00BB417A">
        <w:rPr>
          <w:rFonts w:ascii="Calibri" w:hAnsi="Calibri"/>
          <w:sz w:val="20"/>
          <w:szCs w:val="20"/>
        </w:rPr>
        <w:t xml:space="preserve">. Ipak, evidentirana je i alarmantna praksa </w:t>
      </w:r>
      <w:r w:rsidR="00163E00">
        <w:rPr>
          <w:rFonts w:ascii="Calibri" w:hAnsi="Calibri"/>
          <w:sz w:val="20"/>
          <w:szCs w:val="20"/>
        </w:rPr>
        <w:t>nepojavljivanja</w:t>
      </w:r>
      <w:r w:rsidRPr="00BB417A">
        <w:rPr>
          <w:rFonts w:ascii="Calibri" w:hAnsi="Calibri"/>
          <w:sz w:val="20"/>
          <w:szCs w:val="20"/>
        </w:rPr>
        <w:t xml:space="preserve"> </w:t>
      </w:r>
      <w:r w:rsidR="00163E00">
        <w:rPr>
          <w:rFonts w:ascii="Calibri" w:hAnsi="Calibri"/>
          <w:sz w:val="20"/>
          <w:szCs w:val="20"/>
        </w:rPr>
        <w:t>vještaka ili tužioca na zakazana ročišta, što je</w:t>
      </w:r>
      <w:r w:rsidRPr="00BB417A">
        <w:rPr>
          <w:rFonts w:ascii="Calibri" w:hAnsi="Calibri"/>
          <w:sz w:val="20"/>
          <w:szCs w:val="20"/>
        </w:rPr>
        <w:t xml:space="preserve"> često dovodi</w:t>
      </w:r>
      <w:r w:rsidR="00163E00">
        <w:rPr>
          <w:rFonts w:ascii="Calibri" w:hAnsi="Calibri"/>
          <w:sz w:val="20"/>
          <w:szCs w:val="20"/>
        </w:rPr>
        <w:t>lo</w:t>
      </w:r>
      <w:r w:rsidRPr="00BB417A">
        <w:rPr>
          <w:rFonts w:ascii="Calibri" w:hAnsi="Calibri"/>
          <w:sz w:val="20"/>
          <w:szCs w:val="20"/>
        </w:rPr>
        <w:t xml:space="preserve"> do višestrukog odlaganja ročišta u istom predmetu. </w:t>
      </w:r>
      <w:r w:rsidR="00163E00">
        <w:rPr>
          <w:rFonts w:ascii="Calibri" w:hAnsi="Calibri"/>
          <w:sz w:val="20"/>
          <w:szCs w:val="20"/>
        </w:rPr>
        <w:t xml:space="preserve">NPR: </w:t>
      </w:r>
      <w:r w:rsidRPr="00BB417A">
        <w:rPr>
          <w:rFonts w:ascii="Calibri" w:hAnsi="Calibri"/>
          <w:sz w:val="20"/>
          <w:szCs w:val="20"/>
        </w:rPr>
        <w:t xml:space="preserve">U jednom predmetu krivičnog djela Spolni odnošaj sa djetetom ročište </w:t>
      </w:r>
      <w:r w:rsidR="00163E00">
        <w:rPr>
          <w:rFonts w:ascii="Calibri" w:hAnsi="Calibri"/>
          <w:sz w:val="20"/>
          <w:szCs w:val="20"/>
        </w:rPr>
        <w:t>je odgađano</w:t>
      </w:r>
      <w:r w:rsidRPr="00BB417A">
        <w:rPr>
          <w:rFonts w:ascii="Calibri" w:hAnsi="Calibri"/>
          <w:sz w:val="20"/>
          <w:szCs w:val="20"/>
        </w:rPr>
        <w:t xml:space="preserve"> 10 puta, jer nisu pristupili različiti subjekti, od branioca, preko vještaka, pa do samog optuženog. </w:t>
      </w:r>
      <w:r w:rsidRPr="00BB417A">
        <w:rPr>
          <w:rFonts w:ascii="Calibri" w:hAnsi="Calibri"/>
          <w:b/>
          <w:sz w:val="20"/>
          <w:szCs w:val="20"/>
        </w:rPr>
        <w:t>PROSJEČNO TRAJANJE POSTUPAKA</w:t>
      </w:r>
      <w:r w:rsidRPr="00BB417A">
        <w:rPr>
          <w:rFonts w:ascii="Calibri" w:hAnsi="Calibri"/>
          <w:sz w:val="20"/>
          <w:szCs w:val="20"/>
        </w:rPr>
        <w:t xml:space="preserve"> povodom </w:t>
      </w:r>
      <w:r w:rsidR="00163E00">
        <w:rPr>
          <w:rFonts w:ascii="Calibri" w:hAnsi="Calibri"/>
          <w:sz w:val="20"/>
          <w:szCs w:val="20"/>
        </w:rPr>
        <w:t>KD</w:t>
      </w:r>
      <w:r w:rsidRPr="00BB417A">
        <w:rPr>
          <w:rFonts w:ascii="Calibri" w:hAnsi="Calibri"/>
          <w:sz w:val="20"/>
          <w:szCs w:val="20"/>
        </w:rPr>
        <w:t xml:space="preserve"> Nasilje u porodici je 4 mjeseca, povodom </w:t>
      </w:r>
      <w:r w:rsidR="00163E00">
        <w:rPr>
          <w:rFonts w:ascii="Calibri" w:hAnsi="Calibri"/>
          <w:sz w:val="20"/>
          <w:szCs w:val="20"/>
        </w:rPr>
        <w:t>KD</w:t>
      </w:r>
      <w:r w:rsidRPr="00BB417A">
        <w:rPr>
          <w:rFonts w:ascii="Calibri" w:hAnsi="Calibri"/>
          <w:sz w:val="20"/>
          <w:szCs w:val="20"/>
        </w:rPr>
        <w:t xml:space="preserve"> Bludnje radnje 2 mjeseca, KD Silovanje – 14 mjeseci, KD Ubistvo – 5 mjeseci, te 5,5 mjeseci za KD Laka tjelesna povreda i 8,8 mjeseci za KD Spolni odnošaj s djetetom.</w:t>
      </w:r>
    </w:p>
    <w:p w:rsidR="00055444" w:rsidRPr="00BB417A" w:rsidRDefault="00FB0FDA" w:rsidP="00A9688D">
      <w:pPr>
        <w:spacing w:before="20" w:after="20" w:line="240" w:lineRule="auto"/>
        <w:ind w:firstLine="708"/>
        <w:contextualSpacing/>
        <w:jc w:val="center"/>
        <w:rPr>
          <w:rFonts w:ascii="Calibri" w:hAnsi="Calibri"/>
          <w:sz w:val="20"/>
          <w:szCs w:val="20"/>
        </w:rPr>
      </w:pPr>
      <w:r w:rsidRPr="00FB0FDA">
        <w:rPr>
          <w:rFonts w:ascii="Calibri" w:hAnsi="Calibri"/>
          <w:noProof/>
          <w:sz w:val="20"/>
          <w:szCs w:val="20"/>
          <w:lang w:eastAsia="hr-HR"/>
        </w:rPr>
        <w:drawing>
          <wp:inline distT="0" distB="0" distL="0" distR="0">
            <wp:extent cx="4801667" cy="2241957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2F1C" w:rsidRDefault="00AF2F1C" w:rsidP="004107C2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AF2F1C" w:rsidRDefault="00AF2F1C" w:rsidP="004107C2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AF2F1C" w:rsidRDefault="00AF2F1C" w:rsidP="004107C2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AF2F1C" w:rsidRPr="00AF2F1C" w:rsidRDefault="00211ED0" w:rsidP="004107C2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AF2F1C" w:rsidRPr="00AF2F1C">
        <w:rPr>
          <w:sz w:val="20"/>
          <w:szCs w:val="20"/>
        </w:rPr>
        <w:t xml:space="preserve">naliza je rezultirala </w:t>
      </w:r>
      <w:r w:rsidR="00AF2F1C" w:rsidRPr="00081499">
        <w:rPr>
          <w:b/>
          <w:sz w:val="20"/>
          <w:szCs w:val="20"/>
        </w:rPr>
        <w:t>preporukama</w:t>
      </w:r>
      <w:r w:rsidR="00AF2F1C" w:rsidRPr="00AF2F1C">
        <w:rPr>
          <w:sz w:val="20"/>
          <w:szCs w:val="20"/>
        </w:rPr>
        <w:t xml:space="preserve"> za:</w:t>
      </w:r>
    </w:p>
    <w:p w:rsidR="00BB417A" w:rsidRPr="00AF2F1C" w:rsidRDefault="00AF2F1C" w:rsidP="00AF2F1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Općinske i kantonalne sudove i </w:t>
      </w:r>
      <w:r w:rsidRPr="00AF2F1C">
        <w:rPr>
          <w:sz w:val="20"/>
          <w:szCs w:val="20"/>
        </w:rPr>
        <w:t>preporuke za općinske i kantonalne</w:t>
      </w:r>
      <w:r>
        <w:rPr>
          <w:sz w:val="20"/>
          <w:szCs w:val="20"/>
        </w:rPr>
        <w:t xml:space="preserve"> sudove i kantonalna tužilaštva</w:t>
      </w:r>
    </w:p>
    <w:p w:rsidR="00BB417A" w:rsidRPr="00AF2F1C" w:rsidRDefault="00AF2F1C" w:rsidP="00AF2F1C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Ministarstvo sigurnosti BiH, Ministarstvo pravde BiH, Federalno ministarstvo pravde;</w:t>
      </w:r>
    </w:p>
    <w:p w:rsidR="00BB417A" w:rsidRPr="00AF2F1C" w:rsidRDefault="00AF2F1C" w:rsidP="00AF2F1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AF2F1C">
        <w:rPr>
          <w:sz w:val="20"/>
          <w:szCs w:val="20"/>
        </w:rPr>
        <w:t>genc</w:t>
      </w:r>
      <w:r>
        <w:rPr>
          <w:sz w:val="20"/>
          <w:szCs w:val="20"/>
        </w:rPr>
        <w:t>iju za ravnopravnost spolova BiH, Gender centar FBiH, C</w:t>
      </w:r>
      <w:r w:rsidRPr="00AF2F1C">
        <w:rPr>
          <w:sz w:val="20"/>
          <w:szCs w:val="20"/>
        </w:rPr>
        <w:t>entar za e</w:t>
      </w:r>
      <w:r>
        <w:rPr>
          <w:sz w:val="20"/>
          <w:szCs w:val="20"/>
        </w:rPr>
        <w:t>dukaciju sudija i tužilaca FBiH</w:t>
      </w:r>
    </w:p>
    <w:p w:rsidR="00BB417A" w:rsidRPr="00AF2F1C" w:rsidRDefault="00AF2F1C" w:rsidP="00AF2F1C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Pr="00AF2F1C">
        <w:rPr>
          <w:sz w:val="20"/>
          <w:szCs w:val="20"/>
        </w:rPr>
        <w:t>akonoda</w:t>
      </w:r>
      <w:r>
        <w:rPr>
          <w:sz w:val="20"/>
          <w:szCs w:val="20"/>
        </w:rPr>
        <w:t>vna tijela na svim nivoima, te F</w:t>
      </w:r>
      <w:r w:rsidRPr="00AF2F1C">
        <w:rPr>
          <w:sz w:val="20"/>
          <w:szCs w:val="20"/>
        </w:rPr>
        <w:t>ederalno ministarstvo unutrašnjih poslova</w:t>
      </w:r>
      <w:r>
        <w:rPr>
          <w:sz w:val="20"/>
          <w:szCs w:val="20"/>
        </w:rPr>
        <w:t>.</w:t>
      </w:r>
    </w:p>
    <w:p w:rsidR="00AF2F1C" w:rsidRPr="00AF2F1C" w:rsidRDefault="00AF2F1C" w:rsidP="00AF2F1C">
      <w:pPr>
        <w:spacing w:after="0" w:line="240" w:lineRule="auto"/>
        <w:rPr>
          <w:sz w:val="20"/>
          <w:szCs w:val="20"/>
        </w:rPr>
      </w:pPr>
    </w:p>
    <w:p w:rsidR="002A0672" w:rsidRDefault="0080288D" w:rsidP="0080288D">
      <w:pPr>
        <w:spacing w:after="0" w:line="240" w:lineRule="auto"/>
      </w:pPr>
      <w:r>
        <w:rPr>
          <w:sz w:val="20"/>
          <w:szCs w:val="20"/>
        </w:rPr>
        <w:t>Kompletna a</w:t>
      </w:r>
      <w:r w:rsidR="00AF2F1C" w:rsidRPr="00AF2F1C">
        <w:rPr>
          <w:sz w:val="20"/>
          <w:szCs w:val="20"/>
        </w:rPr>
        <w:t>nal</w:t>
      </w:r>
      <w:r w:rsidR="00AF2F1C">
        <w:rPr>
          <w:sz w:val="20"/>
          <w:szCs w:val="20"/>
        </w:rPr>
        <w:t xml:space="preserve">iza i preporuke publikovane su </w:t>
      </w:r>
      <w:r w:rsidR="00081499">
        <w:rPr>
          <w:sz w:val="20"/>
          <w:szCs w:val="20"/>
        </w:rPr>
        <w:t xml:space="preserve">u </w:t>
      </w:r>
      <w:r w:rsidR="00AF2F1C" w:rsidRPr="00AF2F1C">
        <w:rPr>
          <w:sz w:val="20"/>
          <w:szCs w:val="20"/>
        </w:rPr>
        <w:t xml:space="preserve"> „</w:t>
      </w:r>
      <w:r w:rsidR="00AF2F1C">
        <w:rPr>
          <w:sz w:val="20"/>
          <w:szCs w:val="20"/>
        </w:rPr>
        <w:t>Izvještaj i analiza praćenja krivičnih postupaka u oblasti rodno zasnovanog nasilja u Federaciji Bosne i Hercegovine i Republici srpskoj“</w:t>
      </w:r>
      <w:r>
        <w:rPr>
          <w:sz w:val="20"/>
          <w:szCs w:val="20"/>
        </w:rPr>
        <w:t>, d</w:t>
      </w:r>
      <w:r w:rsidR="00AF2F1C">
        <w:rPr>
          <w:sz w:val="20"/>
          <w:szCs w:val="20"/>
        </w:rPr>
        <w:t>ostupnoj na našoj web stranici:</w:t>
      </w:r>
      <w:r>
        <w:rPr>
          <w:sz w:val="20"/>
          <w:szCs w:val="20"/>
        </w:rPr>
        <w:t xml:space="preserve"> </w:t>
      </w:r>
      <w:hyperlink r:id="rId11" w:history="1">
        <w:r w:rsidRPr="001D24A6">
          <w:rPr>
            <w:rStyle w:val="Hyperlink"/>
            <w:sz w:val="20"/>
            <w:szCs w:val="20"/>
          </w:rPr>
          <w:t>www.cenppz.org.ba</w:t>
        </w:r>
      </w:hyperlink>
    </w:p>
    <w:p w:rsidR="00CC3BDD" w:rsidRDefault="00CC3BDD" w:rsidP="0080288D">
      <w:pPr>
        <w:spacing w:after="0" w:line="240" w:lineRule="auto"/>
      </w:pPr>
    </w:p>
    <w:p w:rsidR="00CC3BDD" w:rsidRDefault="00CC3BDD" w:rsidP="0080288D">
      <w:pPr>
        <w:spacing w:after="0" w:line="240" w:lineRule="auto"/>
      </w:pPr>
    </w:p>
    <w:p w:rsidR="00CC3BDD" w:rsidRDefault="00CC3BDD" w:rsidP="0080288D">
      <w:pPr>
        <w:spacing w:after="0" w:line="240" w:lineRule="auto"/>
      </w:pPr>
    </w:p>
    <w:p w:rsidR="00CC3BDD" w:rsidRDefault="00CC3BDD" w:rsidP="0080288D">
      <w:pPr>
        <w:spacing w:after="0" w:line="240" w:lineRule="auto"/>
        <w:rPr>
          <w:sz w:val="20"/>
          <w:szCs w:val="20"/>
        </w:rPr>
      </w:pPr>
    </w:p>
    <w:p w:rsidR="00CC3BDD" w:rsidRDefault="00CC3BDD" w:rsidP="0080288D">
      <w:pPr>
        <w:spacing w:after="0" w:line="240" w:lineRule="auto"/>
        <w:rPr>
          <w:sz w:val="20"/>
          <w:szCs w:val="20"/>
        </w:rPr>
      </w:pPr>
    </w:p>
    <w:p w:rsidR="00CC3BDD" w:rsidRDefault="00CC3BDD" w:rsidP="0080288D">
      <w:pPr>
        <w:spacing w:after="0" w:line="240" w:lineRule="auto"/>
        <w:rPr>
          <w:sz w:val="20"/>
          <w:szCs w:val="20"/>
        </w:rPr>
      </w:pPr>
    </w:p>
    <w:p w:rsidR="00CC3BDD" w:rsidRDefault="00CC3BDD" w:rsidP="0080288D">
      <w:pPr>
        <w:spacing w:after="0" w:line="240" w:lineRule="auto"/>
        <w:rPr>
          <w:sz w:val="20"/>
          <w:szCs w:val="20"/>
        </w:rPr>
      </w:pPr>
    </w:p>
    <w:p w:rsidR="00CC3BDD" w:rsidRDefault="00CC3BDD" w:rsidP="0080288D">
      <w:pPr>
        <w:spacing w:after="0" w:line="240" w:lineRule="auto"/>
        <w:rPr>
          <w:sz w:val="20"/>
          <w:szCs w:val="20"/>
        </w:rPr>
      </w:pPr>
    </w:p>
    <w:p w:rsidR="00CC3BDD" w:rsidRDefault="00CC3BDD" w:rsidP="0080288D">
      <w:pPr>
        <w:spacing w:after="0" w:line="240" w:lineRule="auto"/>
        <w:rPr>
          <w:sz w:val="20"/>
          <w:szCs w:val="20"/>
        </w:rPr>
      </w:pPr>
    </w:p>
    <w:p w:rsidR="00CC3BDD" w:rsidRDefault="00CC3BDD" w:rsidP="0080288D">
      <w:pPr>
        <w:spacing w:after="0" w:line="240" w:lineRule="auto"/>
        <w:rPr>
          <w:sz w:val="20"/>
          <w:szCs w:val="20"/>
        </w:rPr>
      </w:pPr>
    </w:p>
    <w:sectPr w:rsidR="00CC3BDD" w:rsidSect="00081499">
      <w:headerReference w:type="default" r:id="rId12"/>
      <w:footerReference w:type="default" r:id="rId13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B0" w:rsidRDefault="00BF09B0" w:rsidP="002A0672">
      <w:pPr>
        <w:spacing w:after="0" w:line="240" w:lineRule="auto"/>
      </w:pPr>
      <w:r>
        <w:separator/>
      </w:r>
    </w:p>
  </w:endnote>
  <w:endnote w:type="continuationSeparator" w:id="0">
    <w:p w:rsidR="00BF09B0" w:rsidRDefault="00BF09B0" w:rsidP="002A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72" w:rsidRDefault="002A0672" w:rsidP="002A0672">
    <w:pPr>
      <w:shd w:val="clear" w:color="auto" w:fill="000000" w:themeFill="text1"/>
      <w:spacing w:after="0" w:line="240" w:lineRule="auto"/>
      <w:jc w:val="center"/>
      <w:rPr>
        <w:b/>
        <w:color w:val="FFFFFF" w:themeColor="background1"/>
        <w:sz w:val="20"/>
        <w:szCs w:val="20"/>
      </w:rPr>
    </w:pPr>
    <w:r>
      <w:rPr>
        <w:b/>
        <w:color w:val="FFFFFF" w:themeColor="background1"/>
        <w:sz w:val="20"/>
        <w:szCs w:val="20"/>
      </w:rPr>
      <w:t xml:space="preserve">Centar </w:t>
    </w:r>
    <w:r>
      <w:rPr>
        <w:b/>
        <w:color w:val="FFFFFF" w:themeColor="background1"/>
        <w:sz w:val="20"/>
        <w:szCs w:val="20"/>
      </w:rPr>
      <w:t>za pravnu pomoć ženama, juni 2014</w:t>
    </w:r>
  </w:p>
  <w:p w:rsidR="002A0672" w:rsidRPr="002A0672" w:rsidRDefault="002A0672" w:rsidP="002A0672">
    <w:pPr>
      <w:shd w:val="clear" w:color="auto" w:fill="000000" w:themeFill="text1"/>
      <w:spacing w:after="0" w:line="240" w:lineRule="auto"/>
      <w:jc w:val="center"/>
      <w:rPr>
        <w:b/>
        <w:color w:val="FFFFFF" w:themeColor="background1"/>
        <w:sz w:val="20"/>
        <w:szCs w:val="20"/>
      </w:rPr>
    </w:pPr>
    <w:r>
      <w:rPr>
        <w:b/>
        <w:color w:val="FFFFFF" w:themeColor="background1"/>
        <w:sz w:val="20"/>
        <w:szCs w:val="20"/>
      </w:rPr>
      <w:t>Podrška – Kvin</w:t>
    </w:r>
    <w:r w:rsidR="007C72DC">
      <w:rPr>
        <w:b/>
        <w:color w:val="FFFFFF" w:themeColor="background1"/>
        <w:sz w:val="20"/>
        <w:szCs w:val="20"/>
      </w:rPr>
      <w:t>n</w:t>
    </w:r>
    <w:r>
      <w:rPr>
        <w:b/>
        <w:color w:val="FFFFFF" w:themeColor="background1"/>
        <w:sz w:val="20"/>
        <w:szCs w:val="20"/>
      </w:rPr>
      <w:t>a till Kvin</w:t>
    </w:r>
    <w:r w:rsidR="007C72DC">
      <w:rPr>
        <w:b/>
        <w:color w:val="FFFFFF" w:themeColor="background1"/>
        <w:sz w:val="20"/>
        <w:szCs w:val="20"/>
      </w:rPr>
      <w:t>n</w:t>
    </w:r>
    <w:r>
      <w:rPr>
        <w:b/>
        <w:color w:val="FFFFFF" w:themeColor="background1"/>
        <w:sz w:val="20"/>
        <w:szCs w:val="20"/>
      </w:rPr>
      <w:t>a, Švedska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B0" w:rsidRDefault="00BF09B0" w:rsidP="002A0672">
      <w:pPr>
        <w:spacing w:after="0" w:line="240" w:lineRule="auto"/>
      </w:pPr>
      <w:r>
        <w:separator/>
      </w:r>
    </w:p>
  </w:footnote>
  <w:footnote w:type="continuationSeparator" w:id="0">
    <w:p w:rsidR="00BF09B0" w:rsidRDefault="00BF09B0" w:rsidP="002A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72" w:rsidRPr="001778B9" w:rsidRDefault="00440156" w:rsidP="002A0672">
    <w:pPr>
      <w:shd w:val="clear" w:color="auto" w:fill="000000" w:themeFill="text1"/>
      <w:spacing w:after="0" w:line="240" w:lineRule="auto"/>
      <w:jc w:val="center"/>
      <w:rPr>
        <w:b/>
        <w:color w:val="FFFFFF" w:themeColor="background1"/>
        <w:sz w:val="20"/>
        <w:szCs w:val="20"/>
      </w:rPr>
    </w:pPr>
    <w:r>
      <w:rPr>
        <w:b/>
        <w:color w:val="FFFFFF" w:themeColor="background1"/>
        <w:sz w:val="20"/>
        <w:szCs w:val="20"/>
      </w:rPr>
      <w:t>Centar za pr</w:t>
    </w:r>
    <w:r w:rsidR="00D6472E">
      <w:rPr>
        <w:b/>
        <w:color w:val="FFFFFF" w:themeColor="background1"/>
        <w:sz w:val="20"/>
        <w:szCs w:val="20"/>
      </w:rPr>
      <w:t>avnu pomoć ženama Zeni</w:t>
    </w:r>
    <w:r w:rsidR="002A0672">
      <w:rPr>
        <w:b/>
        <w:color w:val="FFFFFF" w:themeColor="background1"/>
        <w:sz w:val="20"/>
        <w:szCs w:val="20"/>
      </w:rPr>
      <w:t xml:space="preserve">ca - </w:t>
    </w:r>
    <w:r w:rsidR="002A0672" w:rsidRPr="001778B9">
      <w:rPr>
        <w:b/>
        <w:color w:val="FFFFFF" w:themeColor="background1"/>
        <w:sz w:val="20"/>
        <w:szCs w:val="20"/>
      </w:rPr>
      <w:t xml:space="preserve">„Monitoringom pravosuđa ka ostvarenju spolne i rodne </w:t>
    </w:r>
    <w:r>
      <w:rPr>
        <w:b/>
        <w:color w:val="FFFFFF" w:themeColor="background1"/>
        <w:sz w:val="20"/>
        <w:szCs w:val="20"/>
      </w:rPr>
      <w:t>jednakosti</w:t>
    </w:r>
    <w:r w:rsidR="002A0672" w:rsidRPr="001778B9">
      <w:rPr>
        <w:b/>
        <w:color w:val="FFFFFF" w:themeColor="background1"/>
        <w:sz w:val="20"/>
        <w:szCs w:val="20"/>
      </w:rPr>
      <w:t xml:space="preserve"> u BiH“</w:t>
    </w:r>
  </w:p>
  <w:p w:rsidR="002A0672" w:rsidRPr="001778B9" w:rsidRDefault="006100DA" w:rsidP="002A0672">
    <w:pPr>
      <w:shd w:val="clear" w:color="auto" w:fill="000000" w:themeFill="text1"/>
      <w:spacing w:after="0" w:line="240" w:lineRule="auto"/>
      <w:jc w:val="center"/>
      <w:rPr>
        <w:b/>
        <w:color w:val="FFFFFF" w:themeColor="background1"/>
        <w:sz w:val="20"/>
        <w:szCs w:val="20"/>
      </w:rPr>
    </w:pPr>
    <w:r>
      <w:rPr>
        <w:b/>
        <w:color w:val="FFFFFF" w:themeColor="background1"/>
        <w:sz w:val="20"/>
        <w:szCs w:val="20"/>
      </w:rPr>
      <w:t>KRATKI PREGLED ANALIZE U F</w:t>
    </w:r>
    <w:r w:rsidR="00440156">
      <w:rPr>
        <w:b/>
        <w:color w:val="FFFFFF" w:themeColor="background1"/>
        <w:sz w:val="20"/>
        <w:szCs w:val="20"/>
      </w:rPr>
      <w:t>B</w:t>
    </w:r>
    <w:r w:rsidR="002A0672" w:rsidRPr="001778B9">
      <w:rPr>
        <w:b/>
        <w:color w:val="FFFFFF" w:themeColor="background1"/>
        <w:sz w:val="20"/>
        <w:szCs w:val="20"/>
      </w:rPr>
      <w:t>iH</w:t>
    </w:r>
    <w:r>
      <w:rPr>
        <w:b/>
        <w:color w:val="FFFFFF" w:themeColor="background1"/>
        <w:sz w:val="20"/>
        <w:szCs w:val="20"/>
      </w:rPr>
      <w:t xml:space="preserve"> i PREPORUKE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F79"/>
    <w:multiLevelType w:val="hybridMultilevel"/>
    <w:tmpl w:val="95BE0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7A32"/>
    <w:multiLevelType w:val="hybridMultilevel"/>
    <w:tmpl w:val="E006E9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329C"/>
    <w:multiLevelType w:val="hybridMultilevel"/>
    <w:tmpl w:val="B3D0C1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03ED4"/>
    <w:multiLevelType w:val="hybridMultilevel"/>
    <w:tmpl w:val="F3408C8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D00E34"/>
    <w:multiLevelType w:val="hybridMultilevel"/>
    <w:tmpl w:val="138EB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7740C"/>
    <w:multiLevelType w:val="hybridMultilevel"/>
    <w:tmpl w:val="DF1A68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A5108"/>
    <w:multiLevelType w:val="hybridMultilevel"/>
    <w:tmpl w:val="ACD605A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AD61E1"/>
    <w:multiLevelType w:val="hybridMultilevel"/>
    <w:tmpl w:val="63B48C6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283FA0"/>
    <w:multiLevelType w:val="hybridMultilevel"/>
    <w:tmpl w:val="5BC872EA"/>
    <w:lvl w:ilvl="0" w:tplc="041A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9">
    <w:nsid w:val="7F2F7B43"/>
    <w:multiLevelType w:val="hybridMultilevel"/>
    <w:tmpl w:val="FFE23DB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513"/>
    <w:rsid w:val="00017424"/>
    <w:rsid w:val="0005458D"/>
    <w:rsid w:val="000546CD"/>
    <w:rsid w:val="00055444"/>
    <w:rsid w:val="0006555C"/>
    <w:rsid w:val="00073F37"/>
    <w:rsid w:val="0007725A"/>
    <w:rsid w:val="00081426"/>
    <w:rsid w:val="00081499"/>
    <w:rsid w:val="000E1B36"/>
    <w:rsid w:val="000E2DF4"/>
    <w:rsid w:val="00122ECE"/>
    <w:rsid w:val="00136303"/>
    <w:rsid w:val="00136757"/>
    <w:rsid w:val="00145C18"/>
    <w:rsid w:val="001502C3"/>
    <w:rsid w:val="00163E00"/>
    <w:rsid w:val="001778B9"/>
    <w:rsid w:val="001B03DA"/>
    <w:rsid w:val="001E3CCB"/>
    <w:rsid w:val="001F0C66"/>
    <w:rsid w:val="001F5B51"/>
    <w:rsid w:val="002112B5"/>
    <w:rsid w:val="00211ED0"/>
    <w:rsid w:val="00236483"/>
    <w:rsid w:val="00241EC2"/>
    <w:rsid w:val="002544EE"/>
    <w:rsid w:val="002A0672"/>
    <w:rsid w:val="00352C72"/>
    <w:rsid w:val="00377030"/>
    <w:rsid w:val="003B65B5"/>
    <w:rsid w:val="004107C2"/>
    <w:rsid w:val="00423099"/>
    <w:rsid w:val="00440156"/>
    <w:rsid w:val="00445ABE"/>
    <w:rsid w:val="0045249F"/>
    <w:rsid w:val="00471F45"/>
    <w:rsid w:val="004957EC"/>
    <w:rsid w:val="004D09FA"/>
    <w:rsid w:val="004D28BC"/>
    <w:rsid w:val="005020E3"/>
    <w:rsid w:val="00532CB4"/>
    <w:rsid w:val="00547FB0"/>
    <w:rsid w:val="005555C0"/>
    <w:rsid w:val="005729DF"/>
    <w:rsid w:val="00584030"/>
    <w:rsid w:val="005B38A8"/>
    <w:rsid w:val="005C46A5"/>
    <w:rsid w:val="005C5A53"/>
    <w:rsid w:val="005D2B4A"/>
    <w:rsid w:val="00607B5C"/>
    <w:rsid w:val="006100DA"/>
    <w:rsid w:val="00645AEB"/>
    <w:rsid w:val="00664510"/>
    <w:rsid w:val="006758CE"/>
    <w:rsid w:val="00676770"/>
    <w:rsid w:val="006B365F"/>
    <w:rsid w:val="006D4BC2"/>
    <w:rsid w:val="00711A25"/>
    <w:rsid w:val="00764078"/>
    <w:rsid w:val="00774243"/>
    <w:rsid w:val="007907FD"/>
    <w:rsid w:val="007C72DC"/>
    <w:rsid w:val="007E085D"/>
    <w:rsid w:val="007E137B"/>
    <w:rsid w:val="0080288D"/>
    <w:rsid w:val="008564CC"/>
    <w:rsid w:val="008C1FBF"/>
    <w:rsid w:val="008C4937"/>
    <w:rsid w:val="008E57C5"/>
    <w:rsid w:val="008F6BBC"/>
    <w:rsid w:val="00904091"/>
    <w:rsid w:val="009A2F9C"/>
    <w:rsid w:val="009A75BD"/>
    <w:rsid w:val="009C0A7F"/>
    <w:rsid w:val="009D5A56"/>
    <w:rsid w:val="00A005B6"/>
    <w:rsid w:val="00A03AE8"/>
    <w:rsid w:val="00A26A82"/>
    <w:rsid w:val="00A30E92"/>
    <w:rsid w:val="00A53B27"/>
    <w:rsid w:val="00A717D1"/>
    <w:rsid w:val="00A9688D"/>
    <w:rsid w:val="00AF2F1C"/>
    <w:rsid w:val="00B17ACD"/>
    <w:rsid w:val="00B239E0"/>
    <w:rsid w:val="00B64EF5"/>
    <w:rsid w:val="00B84AEF"/>
    <w:rsid w:val="00BA2578"/>
    <w:rsid w:val="00BB417A"/>
    <w:rsid w:val="00BC79D6"/>
    <w:rsid w:val="00BD672D"/>
    <w:rsid w:val="00BD7EFE"/>
    <w:rsid w:val="00BF09B0"/>
    <w:rsid w:val="00BF70B2"/>
    <w:rsid w:val="00C0007A"/>
    <w:rsid w:val="00C17E88"/>
    <w:rsid w:val="00C27B6A"/>
    <w:rsid w:val="00C8522A"/>
    <w:rsid w:val="00CB6DF2"/>
    <w:rsid w:val="00CC00E0"/>
    <w:rsid w:val="00CC3BDD"/>
    <w:rsid w:val="00CC520A"/>
    <w:rsid w:val="00D314BD"/>
    <w:rsid w:val="00D44A10"/>
    <w:rsid w:val="00D6472E"/>
    <w:rsid w:val="00D70571"/>
    <w:rsid w:val="00D70A0A"/>
    <w:rsid w:val="00D83324"/>
    <w:rsid w:val="00D91FDF"/>
    <w:rsid w:val="00DA487F"/>
    <w:rsid w:val="00DB0769"/>
    <w:rsid w:val="00DB7E8C"/>
    <w:rsid w:val="00DE6D30"/>
    <w:rsid w:val="00E02223"/>
    <w:rsid w:val="00E02DB6"/>
    <w:rsid w:val="00E40FAC"/>
    <w:rsid w:val="00E84368"/>
    <w:rsid w:val="00ED3D8D"/>
    <w:rsid w:val="00EF7445"/>
    <w:rsid w:val="00F06F19"/>
    <w:rsid w:val="00F33513"/>
    <w:rsid w:val="00F43CF2"/>
    <w:rsid w:val="00F63738"/>
    <w:rsid w:val="00F82582"/>
    <w:rsid w:val="00F840F2"/>
    <w:rsid w:val="00FB0FDA"/>
    <w:rsid w:val="00FE21D7"/>
    <w:rsid w:val="00FE4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6A"/>
  </w:style>
  <w:style w:type="paragraph" w:styleId="Heading3">
    <w:name w:val="heading 3"/>
    <w:basedOn w:val="Normal"/>
    <w:next w:val="Normal"/>
    <w:link w:val="Heading3Char"/>
    <w:qFormat/>
    <w:rsid w:val="00CC3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672"/>
  </w:style>
  <w:style w:type="paragraph" w:styleId="Footer">
    <w:name w:val="footer"/>
    <w:basedOn w:val="Normal"/>
    <w:link w:val="FooterChar"/>
    <w:uiPriority w:val="99"/>
    <w:semiHidden/>
    <w:unhideWhenUsed/>
    <w:rsid w:val="002A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672"/>
  </w:style>
  <w:style w:type="paragraph" w:styleId="ListParagraph">
    <w:name w:val="List Paragraph"/>
    <w:basedOn w:val="Normal"/>
    <w:uiPriority w:val="34"/>
    <w:qFormat/>
    <w:rsid w:val="00BB417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88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CC3BD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ppz.org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enovo\Desktop\grafikon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enovo\Desktop\grafikon%2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enovo\Desktop\grafikon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 sz="1200"/>
              <a:t>Graikon 1: Brojčani pregled predmeta</a:t>
            </a:r>
          </a:p>
        </c:rich>
      </c:tx>
    </c:title>
    <c:plotArea>
      <c:layout>
        <c:manualLayout>
          <c:layoutTarget val="inner"/>
          <c:xMode val="edge"/>
          <c:yMode val="edge"/>
          <c:x val="0.12356080489938755"/>
          <c:y val="0.2048465296004667"/>
          <c:w val="0.41398972003499651"/>
          <c:h val="0.6899828667249932"/>
        </c:manualLayout>
      </c:layout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5.8333333333333549E-2"/>
                  <c:y val="0"/>
                </c:manualLayout>
              </c:layout>
              <c:dLblPos val="bestFit"/>
              <c:showPercent val="1"/>
            </c:dLbl>
            <c:dLblPos val="outEnd"/>
            <c:showPercent val="1"/>
            <c:showLeaderLines val="1"/>
          </c:dLbls>
          <c:cat>
            <c:strRef>
              <c:f>Sheet1!$C$4:$C$7</c:f>
              <c:strCache>
                <c:ptCount val="4"/>
                <c:pt idx="0">
                  <c:v>Krivična djela protiv braka, porodice i mladeži</c:v>
                </c:pt>
                <c:pt idx="1">
                  <c:v>Krivična djela protiv spolne slobode i morala</c:v>
                </c:pt>
                <c:pt idx="2">
                  <c:v>Krivična djela protiv života i tijela</c:v>
                </c:pt>
                <c:pt idx="3">
                  <c:v>Krivična djela ratnog zločina (silovanje)</c:v>
                </c:pt>
              </c:strCache>
            </c:strRef>
          </c:cat>
          <c:val>
            <c:numRef>
              <c:f>Sheet1!$D$4:$D$7</c:f>
              <c:numCache>
                <c:formatCode>General</c:formatCode>
                <c:ptCount val="4"/>
                <c:pt idx="0">
                  <c:v>123</c:v>
                </c:pt>
                <c:pt idx="1">
                  <c:v>53</c:v>
                </c:pt>
                <c:pt idx="2">
                  <c:v>50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3534367424431482"/>
          <c:y val="0.29992771378802596"/>
          <c:w val="0.34377426990906845"/>
          <c:h val="0.67404200056752084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 algn="ctr">
              <a:defRPr/>
            </a:pPr>
            <a:r>
              <a:rPr lang="hr-HR" sz="1400"/>
              <a:t>Grafikon 2: </a:t>
            </a:r>
          </a:p>
          <a:p>
            <a:pPr algn="ctr">
              <a:defRPr/>
            </a:pPr>
            <a:r>
              <a:rPr lang="hr-HR" sz="1400"/>
              <a:t>Struktura</a:t>
            </a:r>
            <a:r>
              <a:rPr lang="hr-HR" sz="1400" baseline="0"/>
              <a:t> izrečenih krivično-pravih sankcija</a:t>
            </a:r>
          </a:p>
          <a:p>
            <a:pPr algn="ctr">
              <a:defRPr/>
            </a:pPr>
            <a:endParaRPr lang="hr-HR" sz="1400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-3.1968052859010818E-2"/>
                  <c:y val="0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4.7222222222222332E-2"/>
                  <c:y val="-9.2592592592593073E-3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8.3333333333333367E-3"/>
                  <c:y val="-5.5555555555555455E-2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6.3888888888888842E-2"/>
                  <c:y val="0"/>
                </c:manualLayout>
              </c:layout>
              <c:dLblPos val="bestFit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sr-Latn-CS"/>
              </a:p>
            </c:txPr>
            <c:dLblPos val="outEnd"/>
            <c:showPercent val="1"/>
            <c:showLeaderLines val="1"/>
          </c:dLbls>
          <c:cat>
            <c:strRef>
              <c:f>Sheet1!$C$44:$C$49</c:f>
              <c:strCache>
                <c:ptCount val="6"/>
                <c:pt idx="0">
                  <c:v>Uslovne osude</c:v>
                </c:pt>
                <c:pt idx="1">
                  <c:v>Zatvorske kazne</c:v>
                </c:pt>
                <c:pt idx="2">
                  <c:v>Novčane kazne</c:v>
                </c:pt>
                <c:pt idx="3">
                  <c:v>Mjere sigurnosti</c:v>
                </c:pt>
                <c:pt idx="4">
                  <c:v>Kazna maloljetničkog zatvora</c:v>
                </c:pt>
                <c:pt idx="5">
                  <c:v>Sudska opomena</c:v>
                </c:pt>
              </c:strCache>
            </c:strRef>
          </c:cat>
          <c:val>
            <c:numRef>
              <c:f>Sheet1!$D$44:$D$49</c:f>
              <c:numCache>
                <c:formatCode>General</c:formatCode>
                <c:ptCount val="6"/>
                <c:pt idx="0">
                  <c:v>101</c:v>
                </c:pt>
                <c:pt idx="1">
                  <c:v>29</c:v>
                </c:pt>
                <c:pt idx="2">
                  <c:v>19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9473753280839892"/>
          <c:y val="0.29037219305920259"/>
          <c:w val="0.38859580052493431"/>
          <c:h val="0.6982830271216095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tx>
        <c:rich>
          <a:bodyPr/>
          <a:lstStyle/>
          <a:p>
            <a:pPr>
              <a:defRPr/>
            </a:pPr>
            <a:r>
              <a:rPr lang="hr-HR" sz="1400"/>
              <a:t>Grafikon 3: Prosječno trajanje sudskog postupka za pojedina krivična djela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sr-Latn-CS"/>
              </a:p>
            </c:txPr>
            <c:dLblPos val="outEnd"/>
            <c:showPercent val="1"/>
            <c:showLeaderLines val="1"/>
          </c:dLbls>
          <c:cat>
            <c:strRef>
              <c:f>Sheet1!$C$26:$C$31</c:f>
              <c:strCache>
                <c:ptCount val="6"/>
                <c:pt idx="0">
                  <c:v>Nasilje u porodici</c:v>
                </c:pt>
                <c:pt idx="1">
                  <c:v>Bludne radnje</c:v>
                </c:pt>
                <c:pt idx="2">
                  <c:v>Silovanje</c:v>
                </c:pt>
                <c:pt idx="3">
                  <c:v>Ubistvo</c:v>
                </c:pt>
                <c:pt idx="4">
                  <c:v>Laka tjelesna povreda</c:v>
                </c:pt>
                <c:pt idx="5">
                  <c:v>Spolni odnošaj s djetetom</c:v>
                </c:pt>
              </c:strCache>
            </c:strRef>
          </c:cat>
          <c:val>
            <c:numRef>
              <c:f>Sheet1!$D$26:$D$31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14</c:v>
                </c:pt>
                <c:pt idx="3">
                  <c:v>5</c:v>
                </c:pt>
                <c:pt idx="4">
                  <c:v>5.5</c:v>
                </c:pt>
                <c:pt idx="5">
                  <c:v>8.8000000000000007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2034055314371983"/>
          <c:y val="0.28072671135747318"/>
          <c:w val="0.3597192673946677"/>
          <c:h val="0.68294039473015722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28B0-AA10-4DA8-AFED-85B9C906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Centar</cp:lastModifiedBy>
  <cp:revision>20</cp:revision>
  <cp:lastPrinted>2014-10-18T08:43:00Z</cp:lastPrinted>
  <dcterms:created xsi:type="dcterms:W3CDTF">2014-09-29T08:41:00Z</dcterms:created>
  <dcterms:modified xsi:type="dcterms:W3CDTF">2017-06-26T17:06:00Z</dcterms:modified>
</cp:coreProperties>
</file>